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71E01" w14:textId="77777777" w:rsidR="00175C2B" w:rsidRDefault="00205E21">
      <w:pPr>
        <w:jc w:val="center"/>
        <w:rPr>
          <w:rStyle w:val="Strong"/>
          <w:sz w:val="28"/>
          <w:szCs w:val="28"/>
        </w:rPr>
      </w:pPr>
      <w:r>
        <w:rPr>
          <w:b/>
          <w:sz w:val="28"/>
          <w:szCs w:val="28"/>
        </w:rPr>
        <w:t>AVIS DE MARCHÉ</w:t>
      </w:r>
    </w:p>
    <w:p w14:paraId="35E6F231" w14:textId="77777777" w:rsidR="00175C2B" w:rsidRDefault="00175C2B">
      <w:pPr>
        <w:spacing w:beforeAutospacing="1" w:afterAutospacing="1"/>
        <w:rPr>
          <w:b/>
          <w:sz w:val="22"/>
          <w:szCs w:val="22"/>
          <w:u w:val="single"/>
        </w:rPr>
      </w:pPr>
    </w:p>
    <w:p w14:paraId="77E615F1" w14:textId="77777777" w:rsidR="00175C2B" w:rsidRDefault="00205E21">
      <w:pPr>
        <w:spacing w:beforeAutospacing="1" w:afterAutospacing="1"/>
        <w:rPr>
          <w:rStyle w:val="Strong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APPEL D’OFFRES: INFORMATIONS D’ORDRE GÉNÉRAL</w:t>
      </w:r>
      <w:r>
        <w:br/>
      </w:r>
      <w:r>
        <w:br/>
      </w:r>
    </w:p>
    <w:p w14:paraId="50E4BE14" w14:textId="77777777" w:rsidR="00175C2B" w:rsidRDefault="00205E21">
      <w:pPr>
        <w:outlineLvl w:val="0"/>
        <w:rPr>
          <w:rStyle w:val="Strong"/>
          <w:sz w:val="22"/>
          <w:szCs w:val="22"/>
          <w:u w:val="single"/>
        </w:rPr>
      </w:pPr>
      <w:r>
        <w:rPr>
          <w:rStyle w:val="Strong"/>
          <w:sz w:val="22"/>
          <w:szCs w:val="22"/>
          <w:u w:val="single"/>
        </w:rPr>
        <w:t>I.1) Nom et adresse du pouvoir adjudicateur</w:t>
      </w:r>
    </w:p>
    <w:p w14:paraId="725CE519" w14:textId="7317A2C9" w:rsidR="00175C2B" w:rsidRDefault="00205E21">
      <w:pPr>
        <w:outlineLvl w:val="0"/>
        <w:rPr>
          <w:rStyle w:val="Strong"/>
          <w:b w:val="0"/>
          <w:sz w:val="22"/>
          <w:szCs w:val="22"/>
        </w:rPr>
      </w:pPr>
      <w:r>
        <w:rPr>
          <w:rStyle w:val="Strong"/>
          <w:b w:val="0"/>
          <w:sz w:val="22"/>
          <w:szCs w:val="22"/>
        </w:rPr>
        <w:t xml:space="preserve">Nom officiel: </w:t>
      </w:r>
      <w:r>
        <w:t xml:space="preserve"> </w:t>
      </w:r>
      <w:r>
        <w:rPr>
          <w:rStyle w:val="Strong"/>
          <w:b w:val="0"/>
          <w:sz w:val="22"/>
          <w:szCs w:val="22"/>
        </w:rPr>
        <w:t>Initiative de l’Union européenne en matière de sécurité et de défense en faveur des pays d’Afrique de l’Ouest situ</w:t>
      </w:r>
      <w:r w:rsidR="00177FB5">
        <w:rPr>
          <w:rStyle w:val="Strong"/>
          <w:b w:val="0"/>
          <w:sz w:val="22"/>
          <w:szCs w:val="22"/>
        </w:rPr>
        <w:t>é</w:t>
      </w:r>
      <w:r>
        <w:rPr>
          <w:rStyle w:val="Strong"/>
          <w:b w:val="0"/>
          <w:sz w:val="22"/>
          <w:szCs w:val="22"/>
        </w:rPr>
        <w:t>s dans le golfe de Guinée (EUSDI GoG)</w:t>
      </w:r>
      <w:r>
        <w:br/>
      </w:r>
      <w:r>
        <w:rPr>
          <w:rStyle w:val="Strong"/>
          <w:b w:val="0"/>
          <w:sz w:val="22"/>
          <w:szCs w:val="22"/>
        </w:rPr>
        <w:t xml:space="preserve">Adresse postale: EEAS 09/P001 (Belmont), 62 Rue d’Arlon, </w:t>
      </w:r>
      <w:r>
        <w:br/>
      </w:r>
      <w:r>
        <w:rPr>
          <w:rStyle w:val="Strong"/>
          <w:b w:val="0"/>
          <w:sz w:val="22"/>
          <w:szCs w:val="22"/>
        </w:rPr>
        <w:t>Ville: Bruxelles</w:t>
      </w:r>
      <w:r>
        <w:br/>
      </w:r>
      <w:r>
        <w:rPr>
          <w:rStyle w:val="Strong"/>
          <w:b w:val="0"/>
          <w:sz w:val="22"/>
          <w:szCs w:val="22"/>
        </w:rPr>
        <w:t>Code postal: 1000</w:t>
      </w:r>
      <w:r>
        <w:br/>
      </w:r>
      <w:r>
        <w:rPr>
          <w:rStyle w:val="Strong"/>
          <w:b w:val="0"/>
          <w:sz w:val="22"/>
          <w:szCs w:val="22"/>
        </w:rPr>
        <w:t xml:space="preserve">E-mail: </w:t>
      </w:r>
      <w:bookmarkStart w:id="0" w:name="_Hlk191990407"/>
      <w:r w:rsidR="004B1C68">
        <w:fldChar w:fldCharType="begin"/>
      </w:r>
      <w:r w:rsidR="004B1C68">
        <w:instrText>HYPERLINK "mailto:EUSDI-GULF-OF-GUINEA-TENDERS@eeas.europa.eu" \h</w:instrText>
      </w:r>
      <w:r w:rsidR="004B1C68">
        <w:fldChar w:fldCharType="separate"/>
      </w:r>
      <w:r>
        <w:rPr>
          <w:rStyle w:val="Hyperlink"/>
          <w:sz w:val="22"/>
          <w:szCs w:val="22"/>
        </w:rPr>
        <w:t>EUSDI-GULF-OF-GUINEA-TENDERS@eeas.europa.eu</w:t>
      </w:r>
      <w:r w:rsidR="004B1C68">
        <w:rPr>
          <w:rStyle w:val="Hyperlink"/>
          <w:sz w:val="22"/>
          <w:szCs w:val="22"/>
        </w:rPr>
        <w:fldChar w:fldCharType="end"/>
      </w:r>
      <w:r>
        <w:rPr>
          <w:rStyle w:val="Strong"/>
          <w:b w:val="0"/>
          <w:sz w:val="22"/>
          <w:szCs w:val="22"/>
        </w:rPr>
        <w:t xml:space="preserve"> </w:t>
      </w:r>
      <w:bookmarkEnd w:id="0"/>
      <w:r>
        <w:br/>
      </w:r>
      <w:r>
        <w:rPr>
          <w:rStyle w:val="Strong"/>
          <w:b w:val="0"/>
          <w:sz w:val="22"/>
          <w:szCs w:val="22"/>
        </w:rPr>
        <w:t xml:space="preserve">Adresse internet: </w:t>
      </w:r>
      <w:hyperlink r:id="rId11">
        <w:r>
          <w:rPr>
            <w:rStyle w:val="Hyperlink"/>
            <w:sz w:val="22"/>
            <w:szCs w:val="22"/>
          </w:rPr>
          <w:t>https://www.eeas.europa.eu/eu-sdi-gulf-guinea_en?s=410355</w:t>
        </w:r>
      </w:hyperlink>
      <w:r>
        <w:rPr>
          <w:rStyle w:val="Strong"/>
          <w:b w:val="0"/>
          <w:sz w:val="22"/>
          <w:szCs w:val="22"/>
        </w:rPr>
        <w:t xml:space="preserve"> </w:t>
      </w:r>
    </w:p>
    <w:p w14:paraId="70CDD622" w14:textId="77777777" w:rsidR="00175C2B" w:rsidRDefault="00205E21">
      <w:pPr>
        <w:outlineLvl w:val="0"/>
        <w:rPr>
          <w:rStyle w:val="Strong"/>
          <w:b w:val="0"/>
          <w:sz w:val="22"/>
          <w:szCs w:val="22"/>
        </w:rPr>
      </w:pPr>
      <w:r>
        <w:t xml:space="preserve"> </w:t>
      </w:r>
      <w:r>
        <w:br/>
      </w:r>
      <w:r>
        <w:rPr>
          <w:rStyle w:val="Strong"/>
          <w:sz w:val="22"/>
          <w:szCs w:val="22"/>
          <w:u w:val="single"/>
        </w:rPr>
        <w:t>II.1.1) Intitulé</w:t>
      </w:r>
      <w:r>
        <w:rPr>
          <w:rStyle w:val="Strong"/>
          <w:b w:val="0"/>
          <w:sz w:val="22"/>
          <w:szCs w:val="22"/>
        </w:rPr>
        <w:t xml:space="preserve"> </w:t>
      </w:r>
      <w:r>
        <w:br/>
        <w:t xml:space="preserve"> </w:t>
      </w:r>
      <w:r>
        <w:br/>
      </w:r>
      <w:r>
        <w:rPr>
          <w:b/>
          <w:sz w:val="22"/>
          <w:szCs w:val="22"/>
        </w:rPr>
        <w:t>Marché de fournitures d'équipements et de produits de police scientifique à EUSDI GoG à Abidjan, Cote d’Ivoire</w:t>
      </w:r>
    </w:p>
    <w:p w14:paraId="239CBF7A" w14:textId="77777777" w:rsidR="00175C2B" w:rsidRDefault="00205E21">
      <w:pPr>
        <w:outlineLvl w:val="0"/>
        <w:rPr>
          <w:rStyle w:val="Strong"/>
          <w:sz w:val="22"/>
          <w:szCs w:val="22"/>
          <w:u w:val="single"/>
        </w:rPr>
      </w:pPr>
      <w:r>
        <w:rPr>
          <w:rStyle w:val="Strong"/>
          <w:sz w:val="22"/>
          <w:szCs w:val="22"/>
          <w:u w:val="single"/>
        </w:rPr>
        <w:t>II.1.2) Code CPV</w:t>
      </w:r>
      <w:r>
        <w:rPr>
          <w:rStyle w:val="FootnoteReference"/>
          <w:b/>
          <w:sz w:val="22"/>
          <w:szCs w:val="22"/>
          <w:u w:val="single"/>
          <w:lang w:val="en-GB"/>
        </w:rPr>
        <w:footnoteReference w:id="1"/>
      </w:r>
      <w:r>
        <w:rPr>
          <w:rStyle w:val="Strong"/>
          <w:sz w:val="22"/>
          <w:szCs w:val="22"/>
          <w:u w:val="single"/>
        </w:rPr>
        <w:t xml:space="preserve"> principal</w:t>
      </w:r>
    </w:p>
    <w:p w14:paraId="4F6A7F2A" w14:textId="77777777" w:rsidR="00175C2B" w:rsidRDefault="00205E21">
      <w:pPr>
        <w:outlineLvl w:val="0"/>
        <w:rPr>
          <w:rStyle w:val="Strong"/>
          <w:b w:val="0"/>
          <w:sz w:val="22"/>
          <w:szCs w:val="22"/>
          <w:highlight w:val="yellow"/>
        </w:rPr>
      </w:pPr>
      <w:r>
        <w:rPr>
          <w:sz w:val="22"/>
          <w:szCs w:val="22"/>
        </w:rPr>
        <w:t xml:space="preserve">33950000 - Clinical forensics equipment and supplies </w:t>
      </w:r>
      <w:r>
        <w:br/>
        <w:t xml:space="preserve"> </w:t>
      </w:r>
      <w:r>
        <w:br/>
      </w:r>
      <w:r>
        <w:rPr>
          <w:rStyle w:val="Strong"/>
          <w:sz w:val="22"/>
          <w:szCs w:val="22"/>
          <w:u w:val="single"/>
        </w:rPr>
        <w:t>II.1.3) Type de marché</w:t>
      </w:r>
    </w:p>
    <w:p w14:paraId="439D51EA" w14:textId="61C4E54C" w:rsidR="00175C2B" w:rsidRDefault="00205E21">
      <w:pPr>
        <w:pStyle w:val="Blockquote"/>
        <w:ind w:left="0"/>
        <w:jc w:val="both"/>
        <w:rPr>
          <w:rStyle w:val="Strong"/>
          <w:b w:val="0"/>
          <w:i/>
          <w:sz w:val="22"/>
          <w:szCs w:val="22"/>
        </w:rPr>
      </w:pPr>
      <w:r>
        <w:rPr>
          <w:rStyle w:val="Emphasis"/>
          <w:i w:val="0"/>
          <w:sz w:val="22"/>
          <w:szCs w:val="22"/>
        </w:rPr>
        <w:t>Fourniture</w:t>
      </w:r>
      <w:r w:rsidR="00177FB5">
        <w:rPr>
          <w:rStyle w:val="Emphasis"/>
          <w:i w:val="0"/>
          <w:sz w:val="22"/>
          <w:szCs w:val="22"/>
        </w:rPr>
        <w:t>s</w:t>
      </w:r>
    </w:p>
    <w:p w14:paraId="055C47D1" w14:textId="77777777" w:rsidR="00175C2B" w:rsidRDefault="00205E21">
      <w:pPr>
        <w:spacing w:before="240" w:after="120"/>
        <w:outlineLvl w:val="0"/>
        <w:rPr>
          <w:rStyle w:val="Strong"/>
          <w:sz w:val="22"/>
          <w:szCs w:val="22"/>
          <w:u w:val="single"/>
        </w:rPr>
      </w:pPr>
      <w:r>
        <w:rPr>
          <w:rStyle w:val="Strong"/>
          <w:sz w:val="22"/>
          <w:szCs w:val="22"/>
          <w:u w:val="single"/>
        </w:rPr>
        <w:t>II.1.4) Description succincte du marché</w:t>
      </w:r>
    </w:p>
    <w:p w14:paraId="403BCD2E" w14:textId="77777777" w:rsidR="00175C2B" w:rsidRDefault="00205E21">
      <w:pPr>
        <w:pStyle w:val="Heading2"/>
        <w:keepNext w:val="0"/>
        <w:spacing w:before="0"/>
        <w:jc w:val="both"/>
      </w:pPr>
      <w:r>
        <w:rPr>
          <w:rFonts w:ascii="Times New Roman" w:hAnsi="Times New Roman"/>
          <w:sz w:val="22"/>
        </w:rPr>
        <w:t xml:space="preserve">Le marché a pour objet la fourniture et la livraison des équipements et produits de police scientifique à EUSDI GoG à Abidjan, Côte d'Ivoire, tels que décrits dans les spécifications techniques de l'annexe II+III, en 5 lots : </w:t>
      </w:r>
    </w:p>
    <w:p w14:paraId="513B36A6" w14:textId="77777777" w:rsidR="00175C2B" w:rsidRPr="00177FB5" w:rsidRDefault="00205E21">
      <w:pPr>
        <w:spacing w:before="0"/>
        <w:jc w:val="both"/>
        <w:rPr>
          <w:i/>
          <w:iCs/>
          <w:sz w:val="22"/>
          <w:szCs w:val="22"/>
          <w:lang w:val="en-IE"/>
        </w:rPr>
      </w:pPr>
      <w:r w:rsidRPr="00177FB5">
        <w:rPr>
          <w:i/>
          <w:iCs/>
          <w:sz w:val="22"/>
          <w:szCs w:val="22"/>
          <w:lang w:val="en-IE"/>
        </w:rPr>
        <w:t xml:space="preserve">Lot 1 : </w:t>
      </w:r>
      <w:bookmarkStart w:id="1" w:name="_Hlk190339294"/>
      <w:r w:rsidRPr="00177FB5">
        <w:rPr>
          <w:i/>
          <w:iCs/>
          <w:sz w:val="22"/>
          <w:szCs w:val="22"/>
          <w:lang w:val="en-IE"/>
        </w:rPr>
        <w:t>Dactyloscopie</w:t>
      </w:r>
      <w:bookmarkEnd w:id="1"/>
    </w:p>
    <w:p w14:paraId="67AC6F72" w14:textId="77777777" w:rsidR="00175C2B" w:rsidRPr="00177FB5" w:rsidRDefault="00205E21">
      <w:pPr>
        <w:spacing w:before="0"/>
        <w:jc w:val="both"/>
        <w:rPr>
          <w:i/>
          <w:iCs/>
          <w:sz w:val="22"/>
          <w:szCs w:val="22"/>
          <w:lang w:val="en-IE"/>
        </w:rPr>
      </w:pPr>
      <w:r w:rsidRPr="00177FB5">
        <w:rPr>
          <w:i/>
          <w:iCs/>
          <w:sz w:val="22"/>
          <w:szCs w:val="22"/>
          <w:lang w:val="en-IE"/>
        </w:rPr>
        <w:t>Lot 2 : Balistique</w:t>
      </w:r>
    </w:p>
    <w:p w14:paraId="5D3C4CE4" w14:textId="77777777" w:rsidR="00175C2B" w:rsidRPr="00177FB5" w:rsidRDefault="00205E21">
      <w:pPr>
        <w:spacing w:before="0"/>
        <w:jc w:val="both"/>
        <w:rPr>
          <w:i/>
          <w:iCs/>
          <w:sz w:val="22"/>
          <w:szCs w:val="22"/>
          <w:lang w:val="en-IE"/>
        </w:rPr>
      </w:pPr>
      <w:r w:rsidRPr="00177FB5">
        <w:rPr>
          <w:i/>
          <w:iCs/>
          <w:sz w:val="22"/>
          <w:szCs w:val="22"/>
          <w:lang w:val="en-IE"/>
        </w:rPr>
        <w:t xml:space="preserve">Lot 3 : </w:t>
      </w:r>
      <w:bookmarkStart w:id="2" w:name="_Hlk190340062"/>
      <w:r w:rsidRPr="00177FB5">
        <w:rPr>
          <w:i/>
          <w:iCs/>
          <w:sz w:val="22"/>
          <w:szCs w:val="22"/>
          <w:lang w:val="en-IE"/>
        </w:rPr>
        <w:t>Traces</w:t>
      </w:r>
      <w:bookmarkEnd w:id="2"/>
    </w:p>
    <w:p w14:paraId="6D5EB6EB" w14:textId="77777777" w:rsidR="00175C2B" w:rsidRDefault="00205E21">
      <w:pPr>
        <w:spacing w:before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Lot 4 : Équipements de protection</w:t>
      </w:r>
    </w:p>
    <w:p w14:paraId="659C4B62" w14:textId="77777777" w:rsidR="00175C2B" w:rsidRDefault="00205E21">
      <w:pPr>
        <w:spacing w:before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Lot 5 : Divers</w:t>
      </w:r>
    </w:p>
    <w:p w14:paraId="3804CBBD" w14:textId="77777777" w:rsidR="00175C2B" w:rsidRDefault="00175C2B">
      <w:pPr>
        <w:spacing w:before="0"/>
        <w:jc w:val="both"/>
        <w:rPr>
          <w:i/>
          <w:iCs/>
          <w:sz w:val="22"/>
          <w:szCs w:val="22"/>
        </w:rPr>
      </w:pPr>
      <w:bookmarkStart w:id="3" w:name="_Hlk180661283"/>
      <w:bookmarkEnd w:id="3"/>
    </w:p>
    <w:p w14:paraId="2B08E309" w14:textId="09CA8542" w:rsidR="00175C2B" w:rsidRDefault="00205E21">
      <w:pPr>
        <w:outlineLvl w:val="0"/>
        <w:rPr>
          <w:rStyle w:val="Strong"/>
          <w:sz w:val="22"/>
          <w:szCs w:val="22"/>
          <w:u w:val="single"/>
        </w:rPr>
      </w:pPr>
      <w:r>
        <w:lastRenderedPageBreak/>
        <w:br/>
      </w:r>
      <w:r>
        <w:rPr>
          <w:rStyle w:val="Strong"/>
          <w:sz w:val="22"/>
          <w:szCs w:val="22"/>
          <w:u w:val="single"/>
        </w:rPr>
        <w:t xml:space="preserve">II.1.5) </w:t>
      </w:r>
      <w:r w:rsidR="00F855DD">
        <w:rPr>
          <w:rStyle w:val="Strong"/>
          <w:sz w:val="22"/>
          <w:szCs w:val="22"/>
          <w:u w:val="single"/>
        </w:rPr>
        <w:t>Catégories d’articles</w:t>
      </w:r>
    </w:p>
    <w:p w14:paraId="0EFA8DCA" w14:textId="6FD393F7" w:rsidR="00175C2B" w:rsidRPr="00EB673A" w:rsidRDefault="00205E21">
      <w:pPr>
        <w:spacing w:before="0"/>
        <w:jc w:val="both"/>
        <w:rPr>
          <w:i/>
          <w:iCs/>
          <w:sz w:val="22"/>
          <w:szCs w:val="22"/>
        </w:rPr>
      </w:pPr>
      <w:r w:rsidRPr="00177FB5">
        <w:rPr>
          <w:i/>
          <w:iCs/>
          <w:sz w:val="22"/>
          <w:szCs w:val="22"/>
        </w:rPr>
        <w:t xml:space="preserve">Lot 1 : </w:t>
      </w:r>
      <w:r w:rsidRPr="00EB673A">
        <w:rPr>
          <w:i/>
          <w:iCs/>
          <w:sz w:val="22"/>
          <w:szCs w:val="22"/>
        </w:rPr>
        <w:t>Dactyloscopie</w:t>
      </w:r>
      <w:r w:rsidR="00F855DD" w:rsidRPr="00EB673A">
        <w:rPr>
          <w:i/>
          <w:iCs/>
          <w:sz w:val="22"/>
          <w:szCs w:val="22"/>
        </w:rPr>
        <w:t xml:space="preserve"> (</w:t>
      </w:r>
      <w:r w:rsidR="00EB673A" w:rsidRPr="00EB673A">
        <w:rPr>
          <w:i/>
          <w:iCs/>
          <w:sz w:val="22"/>
          <w:szCs w:val="22"/>
        </w:rPr>
        <w:t>22</w:t>
      </w:r>
      <w:r w:rsidR="00F855DD" w:rsidRPr="00EB673A">
        <w:rPr>
          <w:i/>
          <w:iCs/>
          <w:sz w:val="22"/>
          <w:szCs w:val="22"/>
        </w:rPr>
        <w:t xml:space="preserve"> ARTICLES DIFFERENTS)</w:t>
      </w:r>
    </w:p>
    <w:p w14:paraId="3D1E36BB" w14:textId="6B09751D" w:rsidR="00175C2B" w:rsidRPr="00EB673A" w:rsidRDefault="00205E21">
      <w:pPr>
        <w:spacing w:before="0"/>
        <w:jc w:val="both"/>
        <w:rPr>
          <w:i/>
          <w:iCs/>
          <w:sz w:val="22"/>
          <w:szCs w:val="22"/>
        </w:rPr>
      </w:pPr>
      <w:r w:rsidRPr="00177FB5">
        <w:rPr>
          <w:i/>
          <w:iCs/>
          <w:sz w:val="22"/>
          <w:szCs w:val="22"/>
        </w:rPr>
        <w:t xml:space="preserve">Lot 2 : </w:t>
      </w:r>
      <w:r w:rsidRPr="00EB673A">
        <w:rPr>
          <w:i/>
          <w:iCs/>
          <w:sz w:val="22"/>
          <w:szCs w:val="22"/>
        </w:rPr>
        <w:t>Balistique</w:t>
      </w:r>
      <w:r w:rsidR="00EB673A" w:rsidRPr="00EB673A">
        <w:rPr>
          <w:i/>
          <w:iCs/>
          <w:sz w:val="22"/>
          <w:szCs w:val="22"/>
        </w:rPr>
        <w:t xml:space="preserve"> (5 ARTICLES DIFFERENTS)</w:t>
      </w:r>
    </w:p>
    <w:p w14:paraId="4B266E30" w14:textId="202B2EBA" w:rsidR="00175C2B" w:rsidRPr="00EB673A" w:rsidRDefault="00205E21">
      <w:pPr>
        <w:spacing w:before="0"/>
        <w:jc w:val="both"/>
        <w:rPr>
          <w:i/>
          <w:iCs/>
          <w:sz w:val="22"/>
          <w:szCs w:val="22"/>
        </w:rPr>
      </w:pPr>
      <w:r w:rsidRPr="00EB673A">
        <w:rPr>
          <w:i/>
          <w:iCs/>
          <w:sz w:val="22"/>
          <w:szCs w:val="22"/>
        </w:rPr>
        <w:t>Lot 3 : Traces</w:t>
      </w:r>
      <w:r w:rsidR="00EB673A" w:rsidRPr="00EB673A">
        <w:rPr>
          <w:i/>
          <w:iCs/>
          <w:sz w:val="22"/>
          <w:szCs w:val="22"/>
        </w:rPr>
        <w:t xml:space="preserve"> (5 ARTICLES DIFFERENTS)</w:t>
      </w:r>
    </w:p>
    <w:p w14:paraId="1C5E0181" w14:textId="3A5FC763" w:rsidR="00175C2B" w:rsidRPr="00EB673A" w:rsidRDefault="00205E21">
      <w:pPr>
        <w:spacing w:before="0"/>
        <w:jc w:val="both"/>
        <w:rPr>
          <w:i/>
          <w:iCs/>
          <w:sz w:val="22"/>
          <w:szCs w:val="22"/>
        </w:rPr>
      </w:pPr>
      <w:r w:rsidRPr="00EB673A">
        <w:rPr>
          <w:i/>
          <w:iCs/>
          <w:sz w:val="22"/>
          <w:szCs w:val="22"/>
        </w:rPr>
        <w:t>Lot 4 : Équipements de protection</w:t>
      </w:r>
      <w:r w:rsidR="00EB673A" w:rsidRPr="00EB673A">
        <w:rPr>
          <w:i/>
          <w:iCs/>
          <w:sz w:val="22"/>
          <w:szCs w:val="22"/>
        </w:rPr>
        <w:t xml:space="preserve"> (9 ARTICLES DIFFERENTS)</w:t>
      </w:r>
    </w:p>
    <w:p w14:paraId="5D6C7213" w14:textId="57320208" w:rsidR="00175C2B" w:rsidRPr="00EB673A" w:rsidRDefault="00205E21">
      <w:pPr>
        <w:spacing w:before="0"/>
        <w:jc w:val="both"/>
        <w:rPr>
          <w:i/>
          <w:iCs/>
          <w:sz w:val="22"/>
          <w:szCs w:val="22"/>
        </w:rPr>
      </w:pPr>
      <w:r w:rsidRPr="00EB673A">
        <w:rPr>
          <w:i/>
          <w:iCs/>
          <w:sz w:val="22"/>
          <w:szCs w:val="22"/>
        </w:rPr>
        <w:t>Lot 5 : Divers</w:t>
      </w:r>
      <w:r w:rsidR="00EB673A" w:rsidRPr="00EB673A">
        <w:rPr>
          <w:i/>
          <w:iCs/>
          <w:sz w:val="22"/>
          <w:szCs w:val="22"/>
        </w:rPr>
        <w:t xml:space="preserve"> (15 ARTICLES DIFFERENTS)</w:t>
      </w:r>
    </w:p>
    <w:p w14:paraId="2461364B" w14:textId="77777777" w:rsidR="00175C2B" w:rsidRDefault="00205E21">
      <w:pPr>
        <w:outlineLvl w:val="0"/>
        <w:rPr>
          <w:rStyle w:val="Strong"/>
          <w:sz w:val="22"/>
          <w:szCs w:val="22"/>
          <w:u w:val="single"/>
        </w:rPr>
      </w:pPr>
      <w:r>
        <w:br/>
      </w:r>
      <w:r>
        <w:rPr>
          <w:rStyle w:val="Strong"/>
          <w:sz w:val="22"/>
          <w:szCs w:val="22"/>
          <w:u w:val="single"/>
        </w:rPr>
        <w:t>IV.1.1) Type de procédure</w:t>
      </w:r>
    </w:p>
    <w:p w14:paraId="406CAA98" w14:textId="77777777" w:rsidR="00175C2B" w:rsidRDefault="00205E21">
      <w:pPr>
        <w:outlineLvl w:val="0"/>
        <w:rPr>
          <w:rStyle w:val="Strong"/>
          <w:b w:val="0"/>
          <w:sz w:val="22"/>
          <w:szCs w:val="22"/>
          <w:u w:val="single"/>
        </w:rPr>
      </w:pPr>
      <w:r>
        <w:rPr>
          <w:rStyle w:val="Strong"/>
          <w:b w:val="0"/>
          <w:sz w:val="22"/>
          <w:szCs w:val="22"/>
        </w:rPr>
        <w:t>Ouverte</w:t>
      </w:r>
      <w:r>
        <w:br/>
      </w:r>
      <w:r>
        <w:br/>
      </w:r>
      <w:r>
        <w:rPr>
          <w:rStyle w:val="Strong"/>
          <w:sz w:val="22"/>
          <w:szCs w:val="22"/>
          <w:u w:val="single"/>
        </w:rPr>
        <w:t>II.1.6) Informations sur les lots</w:t>
      </w:r>
    </w:p>
    <w:p w14:paraId="23D970C6" w14:textId="77777777" w:rsidR="00175C2B" w:rsidRDefault="00205E21">
      <w:pPr>
        <w:outlineLvl w:val="0"/>
        <w:rPr>
          <w:rStyle w:val="Strong"/>
          <w:b w:val="0"/>
          <w:sz w:val="22"/>
          <w:szCs w:val="22"/>
        </w:rPr>
      </w:pPr>
      <w:r>
        <w:rPr>
          <w:rStyle w:val="Strong"/>
          <w:b w:val="0"/>
          <w:sz w:val="22"/>
          <w:szCs w:val="22"/>
        </w:rPr>
        <w:t>Ce marché est divisé en lots:</w:t>
      </w:r>
      <w:r>
        <w:rPr>
          <w:rStyle w:val="Strong"/>
          <w:sz w:val="22"/>
          <w:szCs w:val="22"/>
        </w:rPr>
        <w:t xml:space="preserve"> </w:t>
      </w:r>
      <w:r>
        <w:rPr>
          <w:rStyle w:val="Strong"/>
          <w:b w:val="0"/>
          <w:sz w:val="22"/>
          <w:szCs w:val="22"/>
        </w:rPr>
        <w:t>oui</w:t>
      </w:r>
    </w:p>
    <w:p w14:paraId="67C81074" w14:textId="77777777" w:rsidR="00175C2B" w:rsidRDefault="00205E21">
      <w:pPr>
        <w:outlineLvl w:val="0"/>
        <w:rPr>
          <w:rStyle w:val="Strong"/>
          <w:b w:val="0"/>
          <w:sz w:val="22"/>
          <w:szCs w:val="22"/>
        </w:rPr>
      </w:pPr>
      <w:r>
        <w:rPr>
          <w:rStyle w:val="Strong"/>
          <w:b w:val="0"/>
          <w:sz w:val="22"/>
          <w:szCs w:val="22"/>
        </w:rPr>
        <w:t>Les offres peuvent être soumises pour :</w:t>
      </w:r>
      <w:r>
        <w:t xml:space="preserve"> </w:t>
      </w:r>
      <w:r>
        <w:rPr>
          <w:rStyle w:val="Strong"/>
          <w:b w:val="0"/>
          <w:sz w:val="22"/>
          <w:szCs w:val="22"/>
        </w:rPr>
        <w:t>l’ensemble des lots, plusieurs lots ou un seul lot</w:t>
      </w:r>
    </w:p>
    <w:p w14:paraId="012C18A6" w14:textId="77777777" w:rsidR="00175C2B" w:rsidRDefault="00205E21">
      <w:pPr>
        <w:outlineLvl w:val="0"/>
        <w:rPr>
          <w:b/>
          <w:sz w:val="22"/>
          <w:szCs w:val="22"/>
          <w:u w:val="single"/>
        </w:rPr>
      </w:pPr>
      <w:r>
        <w:t xml:space="preserve">  </w:t>
      </w:r>
      <w:r>
        <w:br/>
      </w:r>
      <w:r>
        <w:rPr>
          <w:rStyle w:val="Strong"/>
          <w:sz w:val="22"/>
          <w:szCs w:val="22"/>
          <w:u w:val="single"/>
        </w:rPr>
        <w:t>APPEL D’OFFRES: INFORMATIONS PAR LOT</w:t>
      </w:r>
    </w:p>
    <w:p w14:paraId="13BA3801" w14:textId="77777777" w:rsidR="00175C2B" w:rsidRDefault="00205E21">
      <w:pPr>
        <w:outlineLvl w:val="0"/>
        <w:rPr>
          <w:sz w:val="22"/>
          <w:szCs w:val="22"/>
        </w:rPr>
      </w:pPr>
      <w:r>
        <w:rPr>
          <w:rStyle w:val="Strong"/>
          <w:sz w:val="22"/>
          <w:szCs w:val="22"/>
          <w:u w:val="single"/>
        </w:rPr>
        <w:t>II.2) Description</w:t>
      </w:r>
      <w:r>
        <w:br/>
      </w:r>
      <w:r>
        <w:br/>
      </w:r>
      <w:r>
        <w:rPr>
          <w:rStyle w:val="Strong"/>
          <w:sz w:val="22"/>
          <w:szCs w:val="22"/>
        </w:rPr>
        <w:t>II.2.1)</w:t>
      </w:r>
      <w:r>
        <w:br/>
      </w:r>
      <w:r>
        <w:rPr>
          <w:rStyle w:val="Strong"/>
          <w:b w:val="0"/>
          <w:sz w:val="22"/>
          <w:szCs w:val="22"/>
        </w:rPr>
        <w:t>Lot nº 1</w:t>
      </w:r>
      <w:r>
        <w:br/>
      </w:r>
      <w:r>
        <w:rPr>
          <w:rStyle w:val="Strong"/>
          <w:b w:val="0"/>
          <w:sz w:val="22"/>
          <w:szCs w:val="22"/>
        </w:rPr>
        <w:t xml:space="preserve">Intitulé : </w:t>
      </w:r>
      <w:r>
        <w:rPr>
          <w:sz w:val="22"/>
          <w:szCs w:val="22"/>
        </w:rPr>
        <w:t>Dactyloscopie</w:t>
      </w:r>
    </w:p>
    <w:p w14:paraId="6A032B78" w14:textId="77777777" w:rsidR="00175C2B" w:rsidRDefault="00205E21">
      <w:pPr>
        <w:outlineLvl w:val="0"/>
        <w:rPr>
          <w:sz w:val="22"/>
          <w:szCs w:val="22"/>
        </w:rPr>
      </w:pPr>
      <w:r w:rsidRPr="00177FB5">
        <w:rPr>
          <w:rStyle w:val="Strong"/>
          <w:b w:val="0"/>
          <w:sz w:val="22"/>
          <w:szCs w:val="22"/>
        </w:rPr>
        <w:t xml:space="preserve">Code CPV </w:t>
      </w:r>
      <w:r w:rsidRPr="00177FB5">
        <w:rPr>
          <w:sz w:val="22"/>
          <w:szCs w:val="22"/>
        </w:rPr>
        <w:t>33950000</w:t>
      </w:r>
    </w:p>
    <w:p w14:paraId="16A78D46" w14:textId="77777777" w:rsidR="00175C2B" w:rsidRDefault="00205E21">
      <w:pPr>
        <w:outlineLvl w:val="0"/>
        <w:rPr>
          <w:sz w:val="22"/>
          <w:szCs w:val="22"/>
        </w:rPr>
      </w:pPr>
      <w:r>
        <w:rPr>
          <w:rStyle w:val="Strong"/>
          <w:b w:val="0"/>
          <w:sz w:val="22"/>
          <w:szCs w:val="22"/>
        </w:rPr>
        <w:t>Lot nº 2</w:t>
      </w:r>
      <w:r>
        <w:br/>
      </w:r>
      <w:r>
        <w:rPr>
          <w:rStyle w:val="Strong"/>
          <w:b w:val="0"/>
          <w:sz w:val="22"/>
          <w:szCs w:val="22"/>
        </w:rPr>
        <w:t xml:space="preserve">Intitulé : </w:t>
      </w:r>
      <w:r>
        <w:rPr>
          <w:sz w:val="22"/>
          <w:szCs w:val="22"/>
        </w:rPr>
        <w:t>Balistique</w:t>
      </w:r>
    </w:p>
    <w:p w14:paraId="34E37D2A" w14:textId="77777777" w:rsidR="00175C2B" w:rsidRDefault="00205E21">
      <w:pPr>
        <w:outlineLvl w:val="0"/>
        <w:rPr>
          <w:sz w:val="22"/>
          <w:szCs w:val="22"/>
        </w:rPr>
      </w:pPr>
      <w:r w:rsidRPr="00177FB5">
        <w:rPr>
          <w:rStyle w:val="Strong"/>
          <w:b w:val="0"/>
          <w:sz w:val="22"/>
          <w:szCs w:val="22"/>
        </w:rPr>
        <w:t xml:space="preserve">Code CPV </w:t>
      </w:r>
      <w:r w:rsidRPr="00177FB5">
        <w:rPr>
          <w:sz w:val="22"/>
          <w:szCs w:val="22"/>
        </w:rPr>
        <w:t>33950000</w:t>
      </w:r>
    </w:p>
    <w:p w14:paraId="164579B8" w14:textId="77777777" w:rsidR="00175C2B" w:rsidRDefault="00205E21">
      <w:pPr>
        <w:outlineLvl w:val="0"/>
        <w:rPr>
          <w:sz w:val="22"/>
          <w:szCs w:val="22"/>
        </w:rPr>
      </w:pPr>
      <w:r>
        <w:rPr>
          <w:rStyle w:val="Strong"/>
          <w:b w:val="0"/>
          <w:sz w:val="22"/>
          <w:szCs w:val="22"/>
        </w:rPr>
        <w:t>Lot nº 3</w:t>
      </w:r>
      <w:r>
        <w:br/>
      </w:r>
      <w:r>
        <w:rPr>
          <w:rStyle w:val="Strong"/>
          <w:b w:val="0"/>
          <w:sz w:val="22"/>
          <w:szCs w:val="22"/>
        </w:rPr>
        <w:t xml:space="preserve">Intitulé : </w:t>
      </w:r>
      <w:r>
        <w:rPr>
          <w:sz w:val="22"/>
          <w:szCs w:val="22"/>
        </w:rPr>
        <w:t>Traces</w:t>
      </w:r>
    </w:p>
    <w:p w14:paraId="025B49EF" w14:textId="77777777" w:rsidR="00175C2B" w:rsidRDefault="00205E21">
      <w:pPr>
        <w:outlineLvl w:val="0"/>
        <w:rPr>
          <w:sz w:val="22"/>
          <w:szCs w:val="22"/>
        </w:rPr>
      </w:pPr>
      <w:r w:rsidRPr="00177FB5">
        <w:rPr>
          <w:rStyle w:val="Strong"/>
          <w:b w:val="0"/>
          <w:sz w:val="22"/>
          <w:szCs w:val="22"/>
        </w:rPr>
        <w:t xml:space="preserve">Code CPV </w:t>
      </w:r>
      <w:r w:rsidRPr="00177FB5">
        <w:rPr>
          <w:sz w:val="22"/>
          <w:szCs w:val="22"/>
        </w:rPr>
        <w:t>33950000</w:t>
      </w:r>
    </w:p>
    <w:p w14:paraId="0330113F" w14:textId="77777777" w:rsidR="00175C2B" w:rsidRDefault="00205E21">
      <w:pPr>
        <w:outlineLvl w:val="0"/>
        <w:rPr>
          <w:sz w:val="22"/>
          <w:szCs w:val="22"/>
        </w:rPr>
      </w:pPr>
      <w:r>
        <w:rPr>
          <w:rStyle w:val="Strong"/>
          <w:b w:val="0"/>
          <w:sz w:val="22"/>
          <w:szCs w:val="22"/>
        </w:rPr>
        <w:t>Lot nº 4</w:t>
      </w:r>
      <w:r>
        <w:br/>
      </w:r>
      <w:r>
        <w:rPr>
          <w:rStyle w:val="Strong"/>
          <w:b w:val="0"/>
          <w:sz w:val="22"/>
          <w:szCs w:val="22"/>
        </w:rPr>
        <w:t xml:space="preserve">Intitulé : </w:t>
      </w:r>
      <w:r>
        <w:rPr>
          <w:sz w:val="22"/>
          <w:szCs w:val="22"/>
        </w:rPr>
        <w:t>Équipements de protection</w:t>
      </w:r>
    </w:p>
    <w:p w14:paraId="661252F0" w14:textId="77777777" w:rsidR="00175C2B" w:rsidRDefault="00205E21">
      <w:pPr>
        <w:outlineLvl w:val="0"/>
        <w:rPr>
          <w:sz w:val="22"/>
          <w:szCs w:val="22"/>
        </w:rPr>
      </w:pPr>
      <w:r>
        <w:rPr>
          <w:rStyle w:val="Strong"/>
          <w:b w:val="0"/>
          <w:sz w:val="22"/>
          <w:szCs w:val="22"/>
        </w:rPr>
        <w:t xml:space="preserve">Code CPV </w:t>
      </w:r>
      <w:r>
        <w:rPr>
          <w:sz w:val="22"/>
          <w:szCs w:val="22"/>
        </w:rPr>
        <w:t>33950000</w:t>
      </w:r>
    </w:p>
    <w:p w14:paraId="6804A2BD" w14:textId="77777777" w:rsidR="00175C2B" w:rsidRDefault="00205E21">
      <w:pPr>
        <w:outlineLvl w:val="0"/>
        <w:rPr>
          <w:sz w:val="22"/>
          <w:szCs w:val="22"/>
        </w:rPr>
      </w:pPr>
      <w:r>
        <w:rPr>
          <w:rStyle w:val="Strong"/>
          <w:b w:val="0"/>
          <w:sz w:val="22"/>
          <w:szCs w:val="22"/>
        </w:rPr>
        <w:t>Lot nº 5</w:t>
      </w:r>
      <w:r>
        <w:br/>
      </w:r>
      <w:r>
        <w:rPr>
          <w:rStyle w:val="Strong"/>
          <w:b w:val="0"/>
          <w:sz w:val="22"/>
          <w:szCs w:val="22"/>
        </w:rPr>
        <w:t xml:space="preserve">Intitulé : </w:t>
      </w:r>
      <w:r>
        <w:rPr>
          <w:sz w:val="22"/>
          <w:szCs w:val="22"/>
        </w:rPr>
        <w:t>Divers</w:t>
      </w:r>
    </w:p>
    <w:p w14:paraId="14E411E4" w14:textId="77777777" w:rsidR="00175C2B" w:rsidRDefault="00205E21">
      <w:pPr>
        <w:outlineLvl w:val="0"/>
        <w:rPr>
          <w:rStyle w:val="Strong"/>
          <w:sz w:val="22"/>
          <w:szCs w:val="22"/>
          <w:u w:val="single"/>
        </w:rPr>
      </w:pPr>
      <w:r w:rsidRPr="00177FB5">
        <w:rPr>
          <w:rStyle w:val="Strong"/>
          <w:b w:val="0"/>
          <w:sz w:val="22"/>
          <w:szCs w:val="22"/>
        </w:rPr>
        <w:t xml:space="preserve">Code CPV </w:t>
      </w:r>
      <w:r w:rsidRPr="00177FB5">
        <w:rPr>
          <w:sz w:val="22"/>
          <w:szCs w:val="22"/>
        </w:rPr>
        <w:t>33950000</w:t>
      </w:r>
    </w:p>
    <w:p w14:paraId="0C8F1A85" w14:textId="77777777" w:rsidR="00175C2B" w:rsidRDefault="00205E21">
      <w:pPr>
        <w:outlineLvl w:val="0"/>
        <w:rPr>
          <w:rStyle w:val="Strong"/>
          <w:b w:val="0"/>
          <w:sz w:val="22"/>
          <w:szCs w:val="22"/>
        </w:rPr>
      </w:pPr>
      <w:r>
        <w:rPr>
          <w:rStyle w:val="Strong"/>
          <w:sz w:val="22"/>
          <w:szCs w:val="22"/>
        </w:rPr>
        <w:t>II.2.2) Code(s) CPV supplémentaire(s)</w:t>
      </w:r>
    </w:p>
    <w:p w14:paraId="68F906C1" w14:textId="77777777" w:rsidR="00175C2B" w:rsidRDefault="00205E21">
      <w:pPr>
        <w:outlineLvl w:val="0"/>
        <w:rPr>
          <w:sz w:val="22"/>
          <w:szCs w:val="22"/>
          <w:lang w:val="en-GB"/>
        </w:rPr>
      </w:pPr>
      <w:bookmarkStart w:id="4" w:name="_Hlk190339998"/>
      <w:r>
        <w:rPr>
          <w:rStyle w:val="Strong"/>
          <w:b w:val="0"/>
          <w:sz w:val="22"/>
          <w:szCs w:val="22"/>
          <w:lang w:val="en-GB"/>
        </w:rPr>
        <w:t>Code CPV principal</w:t>
      </w:r>
      <w:r>
        <w:rPr>
          <w:rStyle w:val="Strong"/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33950000 - Clinical forensics equipment and supplies</w:t>
      </w:r>
      <w:bookmarkEnd w:id="4"/>
    </w:p>
    <w:p w14:paraId="3484FAEC" w14:textId="77777777" w:rsidR="00175C2B" w:rsidRDefault="00205E21">
      <w:pPr>
        <w:outlineLvl w:val="0"/>
        <w:rPr>
          <w:rStyle w:val="Strong"/>
          <w:sz w:val="22"/>
          <w:szCs w:val="22"/>
          <w:highlight w:val="lightGray"/>
          <w:u w:val="single"/>
        </w:rPr>
      </w:pPr>
      <w:r>
        <w:rPr>
          <w:lang w:val="en-GB"/>
        </w:rPr>
        <w:t xml:space="preserve"> </w:t>
      </w:r>
      <w:r w:rsidRPr="00E06BD2">
        <w:br/>
      </w:r>
      <w:r>
        <w:rPr>
          <w:rStyle w:val="Strong"/>
          <w:sz w:val="22"/>
          <w:szCs w:val="22"/>
          <w:u w:val="single"/>
        </w:rPr>
        <w:t>II.2.3) Lieu d’exécution</w:t>
      </w:r>
    </w:p>
    <w:p w14:paraId="6C9AFD48" w14:textId="77777777" w:rsidR="00175C2B" w:rsidRDefault="00205E21">
      <w:pPr>
        <w:outlineLvl w:val="0"/>
        <w:rPr>
          <w:rStyle w:val="Strong"/>
          <w:b w:val="0"/>
          <w:sz w:val="22"/>
          <w:szCs w:val="22"/>
        </w:rPr>
      </w:pPr>
      <w:r>
        <w:rPr>
          <w:rStyle w:val="Strong"/>
          <w:b w:val="0"/>
          <w:sz w:val="22"/>
          <w:szCs w:val="22"/>
        </w:rPr>
        <w:t>Zone géographique bénéficiaire de l’action : Abidjan, Cote d’Ivoire</w:t>
      </w:r>
    </w:p>
    <w:p w14:paraId="10F3B349" w14:textId="77777777" w:rsidR="00175C2B" w:rsidRDefault="00205E21">
      <w:pPr>
        <w:outlineLvl w:val="0"/>
        <w:rPr>
          <w:rStyle w:val="Strong"/>
          <w:sz w:val="22"/>
          <w:szCs w:val="22"/>
          <w:u w:val="single"/>
        </w:rPr>
      </w:pPr>
      <w:r>
        <w:lastRenderedPageBreak/>
        <w:t xml:space="preserve"> </w:t>
      </w:r>
      <w:r>
        <w:br/>
      </w:r>
      <w:r>
        <w:rPr>
          <w:rStyle w:val="Strong"/>
          <w:sz w:val="22"/>
          <w:szCs w:val="22"/>
          <w:u w:val="single"/>
        </w:rPr>
        <w:t>II.2.5) Critères d’attribution</w:t>
      </w:r>
    </w:p>
    <w:p w14:paraId="7031C25F" w14:textId="77777777" w:rsidR="00175C2B" w:rsidRDefault="00205E21">
      <w:pPr>
        <w:outlineLvl w:val="0"/>
        <w:rPr>
          <w:rStyle w:val="Strong"/>
          <w:sz w:val="22"/>
          <w:szCs w:val="22"/>
          <w:u w:val="single"/>
        </w:rPr>
      </w:pPr>
      <w:r>
        <w:rPr>
          <w:rStyle w:val="Strong"/>
          <w:b w:val="0"/>
          <w:sz w:val="22"/>
          <w:szCs w:val="22"/>
        </w:rPr>
        <w:t>Prix</w:t>
      </w:r>
      <w:r>
        <w:br/>
      </w:r>
      <w:r>
        <w:br/>
        <w:t xml:space="preserve"> </w:t>
      </w:r>
      <w:r>
        <w:br/>
      </w:r>
      <w:r>
        <w:rPr>
          <w:rStyle w:val="Strong"/>
          <w:sz w:val="22"/>
          <w:szCs w:val="22"/>
          <w:u w:val="single"/>
        </w:rPr>
        <w:t>II.2.14) Informations complémentaires</w:t>
      </w:r>
    </w:p>
    <w:p w14:paraId="2B7B4134" w14:textId="77777777" w:rsidR="00F855DD" w:rsidRPr="00F855DD" w:rsidRDefault="00F855DD" w:rsidP="00F855DD">
      <w:pPr>
        <w:outlineLvl w:val="0"/>
        <w:rPr>
          <w:rStyle w:val="Strong"/>
          <w:b w:val="0"/>
          <w:sz w:val="22"/>
          <w:szCs w:val="22"/>
        </w:rPr>
      </w:pPr>
      <w:r w:rsidRPr="00F855DD">
        <w:rPr>
          <w:rStyle w:val="Strong"/>
          <w:b w:val="0"/>
          <w:sz w:val="22"/>
          <w:szCs w:val="22"/>
        </w:rPr>
        <w:t>II.2.14) Informations complémentaires</w:t>
      </w:r>
    </w:p>
    <w:p w14:paraId="3281299B" w14:textId="77777777" w:rsidR="00F855DD" w:rsidRPr="00F855DD" w:rsidRDefault="00F855DD" w:rsidP="00F855DD">
      <w:pPr>
        <w:outlineLvl w:val="0"/>
        <w:rPr>
          <w:rStyle w:val="Strong"/>
          <w:b w:val="0"/>
          <w:sz w:val="22"/>
          <w:szCs w:val="22"/>
        </w:rPr>
      </w:pPr>
      <w:r w:rsidRPr="00F855DD">
        <w:rPr>
          <w:rStyle w:val="Strong"/>
          <w:b w:val="0"/>
          <w:sz w:val="22"/>
          <w:szCs w:val="22"/>
        </w:rPr>
        <w:t xml:space="preserve">Répétition de services/travaux similaires </w:t>
      </w:r>
    </w:p>
    <w:p w14:paraId="3EF7312B" w14:textId="77777777" w:rsidR="00F855DD" w:rsidRDefault="00F855DD">
      <w:pPr>
        <w:outlineLvl w:val="0"/>
        <w:rPr>
          <w:rStyle w:val="Strong"/>
          <w:b w:val="0"/>
          <w:sz w:val="22"/>
          <w:szCs w:val="22"/>
        </w:rPr>
      </w:pPr>
      <w:r w:rsidRPr="00F855DD">
        <w:rPr>
          <w:rStyle w:val="Strong"/>
          <w:b w:val="0"/>
          <w:sz w:val="22"/>
          <w:szCs w:val="22"/>
        </w:rPr>
        <w:t>Pour autant qu’ils soient conformes au projet de base, de nouveaux services ou travaux consistant dans la répétition de services ou travaux similaires peuvent être confiés, jusqu’à concurrence de [pourcentage] du marché initial, au contractant initial au moyen d’une procédure négociée sans publication préalable d’un avis de marché.</w:t>
      </w:r>
    </w:p>
    <w:p w14:paraId="0D242021" w14:textId="77777777" w:rsidR="00175C2B" w:rsidRDefault="00205E21">
      <w:pPr>
        <w:outlineLvl w:val="0"/>
        <w:rPr>
          <w:rStyle w:val="Strong"/>
          <w:sz w:val="22"/>
          <w:szCs w:val="22"/>
          <w:u w:val="single"/>
        </w:rPr>
      </w:pPr>
      <w:r>
        <w:br/>
      </w:r>
      <w:r>
        <w:rPr>
          <w:rStyle w:val="Strong"/>
          <w:sz w:val="22"/>
          <w:szCs w:val="22"/>
          <w:u w:val="single"/>
        </w:rPr>
        <w:t>IV.2.2) Date limite de soumission des offres ou des demandes de participation</w:t>
      </w:r>
    </w:p>
    <w:p w14:paraId="3DF14996" w14:textId="5DCEEE7F" w:rsidR="00175C2B" w:rsidRDefault="00205E21">
      <w:pPr>
        <w:outlineLvl w:val="0"/>
        <w:rPr>
          <w:rStyle w:val="Strong"/>
          <w:b w:val="0"/>
          <w:sz w:val="22"/>
          <w:szCs w:val="22"/>
        </w:rPr>
      </w:pPr>
      <w:r>
        <w:rPr>
          <w:rStyle w:val="Strong"/>
          <w:b w:val="0"/>
          <w:sz w:val="22"/>
          <w:szCs w:val="22"/>
        </w:rPr>
        <w:t xml:space="preserve">Date: </w:t>
      </w:r>
      <w:r w:rsidR="00A12F8A">
        <w:rPr>
          <w:rStyle w:val="Strong"/>
          <w:b w:val="0"/>
          <w:sz w:val="22"/>
          <w:szCs w:val="22"/>
        </w:rPr>
        <w:t>2</w:t>
      </w:r>
      <w:r w:rsidR="00E06BD2">
        <w:rPr>
          <w:rStyle w:val="Strong"/>
          <w:b w:val="0"/>
          <w:sz w:val="22"/>
          <w:szCs w:val="22"/>
        </w:rPr>
        <w:t>5</w:t>
      </w:r>
      <w:r w:rsidR="00A12F8A">
        <w:rPr>
          <w:rStyle w:val="Strong"/>
          <w:b w:val="0"/>
          <w:sz w:val="22"/>
          <w:szCs w:val="22"/>
        </w:rPr>
        <w:t>/04/2025</w:t>
      </w:r>
      <w:r>
        <w:rPr>
          <w:rStyle w:val="Strong"/>
          <w:b w:val="0"/>
          <w:sz w:val="22"/>
          <w:szCs w:val="22"/>
        </w:rPr>
        <w:t xml:space="preserve"> </w:t>
      </w:r>
      <w:r>
        <w:br/>
      </w:r>
      <w:r>
        <w:rPr>
          <w:rStyle w:val="Strong"/>
          <w:b w:val="0"/>
          <w:sz w:val="22"/>
          <w:szCs w:val="22"/>
        </w:rPr>
        <w:t>Heure locale: 16:00h heure de Bruxelles</w:t>
      </w:r>
      <w:r w:rsidR="003F71EC">
        <w:rPr>
          <w:rStyle w:val="Strong"/>
          <w:b w:val="0"/>
          <w:sz w:val="22"/>
          <w:szCs w:val="22"/>
        </w:rPr>
        <w:t xml:space="preserve"> (UTC+1)</w:t>
      </w:r>
    </w:p>
    <w:p w14:paraId="6CA0D0C9" w14:textId="77777777" w:rsidR="00175C2B" w:rsidRDefault="00205E21">
      <w:pPr>
        <w:outlineLvl w:val="0"/>
        <w:rPr>
          <w:rStyle w:val="Strong"/>
          <w:sz w:val="22"/>
          <w:szCs w:val="22"/>
          <w:u w:val="single"/>
        </w:rPr>
      </w:pPr>
      <w:r>
        <w:t xml:space="preserve"> </w:t>
      </w:r>
      <w:r>
        <w:br/>
      </w:r>
      <w:r>
        <w:rPr>
          <w:rStyle w:val="Strong"/>
          <w:sz w:val="22"/>
          <w:szCs w:val="22"/>
          <w:u w:val="single"/>
        </w:rPr>
        <w:t>IV.2.6) Délai minimal pendant lequel le soumissionnaire est tenu de maintenir son offre</w:t>
      </w:r>
    </w:p>
    <w:p w14:paraId="7076B24B" w14:textId="77777777" w:rsidR="00175C2B" w:rsidRDefault="00205E21">
      <w:pPr>
        <w:outlineLvl w:val="0"/>
        <w:rPr>
          <w:rStyle w:val="Strong"/>
          <w:b w:val="0"/>
          <w:sz w:val="22"/>
          <w:szCs w:val="22"/>
        </w:rPr>
      </w:pPr>
      <w:r>
        <w:rPr>
          <w:rStyle w:val="Strong"/>
          <w:b w:val="0"/>
          <w:sz w:val="22"/>
          <w:szCs w:val="22"/>
        </w:rPr>
        <w:t>Durée: 90 jours (à compter de la date indiquée pour la réception de l'offre)</w:t>
      </w:r>
    </w:p>
    <w:p w14:paraId="14A2CA14" w14:textId="77777777" w:rsidR="00175C2B" w:rsidRDefault="00205E21">
      <w:pPr>
        <w:outlineLvl w:val="0"/>
        <w:rPr>
          <w:rStyle w:val="Strong"/>
          <w:sz w:val="22"/>
          <w:szCs w:val="22"/>
          <w:u w:val="single"/>
        </w:rPr>
      </w:pPr>
      <w:r>
        <w:br/>
      </w:r>
      <w:r>
        <w:rPr>
          <w:rStyle w:val="Strong"/>
          <w:sz w:val="22"/>
          <w:szCs w:val="22"/>
          <w:u w:val="single"/>
        </w:rPr>
        <w:t>IV.2.7) Modalité d’ouverture des offres</w:t>
      </w:r>
    </w:p>
    <w:p w14:paraId="442F2B38" w14:textId="7140B1B5" w:rsidR="00175C2B" w:rsidRDefault="00205E21">
      <w:pPr>
        <w:outlineLvl w:val="0"/>
      </w:pPr>
      <w:r>
        <w:rPr>
          <w:rStyle w:val="Strong"/>
          <w:b w:val="0"/>
          <w:sz w:val="22"/>
          <w:szCs w:val="22"/>
        </w:rPr>
        <w:t>Date:</w:t>
      </w:r>
      <w:r>
        <w:rPr>
          <w:rStyle w:val="Strong"/>
          <w:b w:val="0"/>
          <w:sz w:val="22"/>
          <w:szCs w:val="22"/>
          <w:u w:val="single"/>
        </w:rPr>
        <w:t xml:space="preserve"> </w:t>
      </w:r>
      <w:r w:rsidR="00A12F8A">
        <w:rPr>
          <w:rStyle w:val="Strong"/>
          <w:b w:val="0"/>
          <w:sz w:val="22"/>
          <w:szCs w:val="22"/>
          <w:u w:val="single"/>
        </w:rPr>
        <w:t>2</w:t>
      </w:r>
      <w:r w:rsidR="00E06BD2">
        <w:rPr>
          <w:rStyle w:val="Strong"/>
          <w:b w:val="0"/>
          <w:sz w:val="22"/>
          <w:szCs w:val="22"/>
          <w:u w:val="single"/>
        </w:rPr>
        <w:t>8</w:t>
      </w:r>
      <w:r w:rsidR="00A12F8A">
        <w:rPr>
          <w:rStyle w:val="Strong"/>
          <w:b w:val="0"/>
          <w:sz w:val="22"/>
          <w:szCs w:val="22"/>
          <w:u w:val="single"/>
        </w:rPr>
        <w:t>/04/2025</w:t>
      </w:r>
      <w:r>
        <w:br/>
      </w:r>
      <w:r>
        <w:rPr>
          <w:rStyle w:val="Strong"/>
          <w:b w:val="0"/>
          <w:sz w:val="22"/>
          <w:szCs w:val="22"/>
        </w:rPr>
        <w:t>Heure locale</w:t>
      </w:r>
      <w:r w:rsidR="00A12F8A">
        <w:rPr>
          <w:rStyle w:val="Strong"/>
          <w:b w:val="0"/>
          <w:sz w:val="22"/>
          <w:szCs w:val="22"/>
        </w:rPr>
        <w:t xml:space="preserve"> Bruxelles (UTC+1</w:t>
      </w:r>
      <w:r w:rsidR="00A12F8A" w:rsidRPr="00246403">
        <w:rPr>
          <w:rStyle w:val="Strong"/>
          <w:b w:val="0"/>
          <w:sz w:val="22"/>
          <w:szCs w:val="22"/>
        </w:rPr>
        <w:t>)</w:t>
      </w:r>
      <w:r w:rsidRPr="00246403">
        <w:rPr>
          <w:rStyle w:val="Strong"/>
          <w:b w:val="0"/>
          <w:sz w:val="22"/>
          <w:szCs w:val="22"/>
        </w:rPr>
        <w:t>]</w:t>
      </w:r>
      <w:r w:rsidRPr="00246403">
        <w:rPr>
          <w:rStyle w:val="Strong"/>
          <w:b w:val="0"/>
          <w:sz w:val="22"/>
          <w:szCs w:val="22"/>
          <w:u w:val="single"/>
        </w:rPr>
        <w:t xml:space="preserve">: </w:t>
      </w:r>
      <w:r w:rsidR="00246403" w:rsidRPr="00BE79E0">
        <w:rPr>
          <w:rStyle w:val="Strong"/>
          <w:b w:val="0"/>
          <w:sz w:val="22"/>
          <w:szCs w:val="22"/>
        </w:rPr>
        <w:t>14</w:t>
      </w:r>
      <w:r w:rsidR="00A12F8A" w:rsidRPr="00BE79E0">
        <w:rPr>
          <w:rStyle w:val="Strong"/>
          <w:b w:val="0"/>
          <w:sz w:val="22"/>
          <w:szCs w:val="22"/>
        </w:rPr>
        <w:t>h00</w:t>
      </w:r>
      <w:r w:rsidR="00BE79E0" w:rsidRPr="00BE79E0">
        <w:rPr>
          <w:rStyle w:val="Strong"/>
          <w:b w:val="0"/>
          <w:sz w:val="22"/>
          <w:szCs w:val="22"/>
        </w:rPr>
        <w:t xml:space="preserve"> </w:t>
      </w:r>
      <w:r w:rsidR="00BE79E0">
        <w:rPr>
          <w:rStyle w:val="Strong"/>
          <w:b w:val="0"/>
          <w:sz w:val="22"/>
          <w:szCs w:val="22"/>
        </w:rPr>
        <w:t>UTC +1</w:t>
      </w:r>
      <w:r>
        <w:br/>
      </w:r>
      <w:r w:rsidRPr="003D0729">
        <w:rPr>
          <w:rStyle w:val="Strong"/>
          <w:bCs/>
          <w:sz w:val="22"/>
          <w:szCs w:val="22"/>
        </w:rPr>
        <w:t xml:space="preserve">Lieu: </w:t>
      </w:r>
      <w:r w:rsidR="003D0729" w:rsidRPr="003D0729">
        <w:rPr>
          <w:rStyle w:val="Strong"/>
          <w:bCs/>
          <w:sz w:val="22"/>
          <w:szCs w:val="22"/>
        </w:rPr>
        <w:t>en ligne</w:t>
      </w:r>
      <w:r w:rsidRPr="003D0729">
        <w:rPr>
          <w:rStyle w:val="Strong"/>
          <w:bCs/>
          <w:sz w:val="22"/>
          <w:szCs w:val="22"/>
        </w:rPr>
        <w:t xml:space="preserve"> </w:t>
      </w:r>
      <w:r w:rsidR="003D0729" w:rsidRPr="003D0729">
        <w:rPr>
          <w:rStyle w:val="Strong"/>
          <w:bCs/>
          <w:sz w:val="22"/>
          <w:szCs w:val="22"/>
        </w:rPr>
        <w:t>sur</w:t>
      </w:r>
      <w:r w:rsidRPr="003D0729">
        <w:rPr>
          <w:rStyle w:val="Strong"/>
          <w:bCs/>
          <w:sz w:val="22"/>
          <w:szCs w:val="22"/>
        </w:rPr>
        <w:t xml:space="preserve"> Teams</w:t>
      </w:r>
      <w:r w:rsidRPr="00246403">
        <w:t xml:space="preserve"> </w:t>
      </w:r>
      <w:r w:rsidR="00E06BD2" w:rsidRPr="00E06BD2">
        <w:t>s</w:t>
      </w:r>
      <w:r w:rsidR="00E06BD2">
        <w:t xml:space="preserve">ur demande du lien </w:t>
      </w:r>
      <w:r w:rsidR="003D0729">
        <w:t>à</w:t>
      </w:r>
      <w:r w:rsidR="00E06BD2">
        <w:t xml:space="preserve"> </w:t>
      </w:r>
      <w:hyperlink r:id="rId12" w:history="1">
        <w:r w:rsidR="00E06BD2" w:rsidRPr="00DA78DB">
          <w:rPr>
            <w:rStyle w:val="Hyperlink"/>
          </w:rPr>
          <w:t>EUSDI-GULF-OF-GUINEA-TENDERS@eeas.europa.eu</w:t>
        </w:r>
      </w:hyperlink>
      <w:r w:rsidR="00E06BD2">
        <w:t xml:space="preserve"> avant la fin de journ</w:t>
      </w:r>
      <w:r w:rsidR="009F3D67">
        <w:t>ée du 25</w:t>
      </w:r>
      <w:r w:rsidR="009F3D67">
        <w:rPr>
          <w:lang w:val="lt-LT"/>
        </w:rPr>
        <w:t xml:space="preserve">/04/2025 (la participation des soumissionaires </w:t>
      </w:r>
      <w:r w:rsidR="009F3D67">
        <w:t>à l’ouverture des offres n’est pas obligatoire et ne causera pas d’exclusion de l’offre en cas de non-participation</w:t>
      </w:r>
      <w:r w:rsidR="009F3D67">
        <w:rPr>
          <w:lang w:val="lt-LT"/>
        </w:rPr>
        <w:t>)</w:t>
      </w:r>
      <w:r w:rsidRPr="00246403">
        <w:br/>
      </w:r>
    </w:p>
    <w:sectPr w:rsidR="00175C2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908" w:right="1440" w:bottom="1276" w:left="1418" w:header="851" w:footer="631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227EC" w14:textId="77777777" w:rsidR="00205E21" w:rsidRDefault="00205E21">
      <w:pPr>
        <w:spacing w:before="0" w:after="0"/>
      </w:pPr>
      <w:r>
        <w:separator/>
      </w:r>
    </w:p>
  </w:endnote>
  <w:endnote w:type="continuationSeparator" w:id="0">
    <w:p w14:paraId="33A9F276" w14:textId="77777777" w:rsidR="00205E21" w:rsidRDefault="00205E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1934" w14:textId="77777777" w:rsidR="00175C2B" w:rsidRDefault="00175C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5BEC9" w14:textId="77777777" w:rsidR="00175C2B" w:rsidRDefault="00205E21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b/>
        <w:sz w:val="18"/>
        <w:szCs w:val="18"/>
      </w:rPr>
    </w:pPr>
    <w:r>
      <w:rPr>
        <w:b/>
        <w:sz w:val="18"/>
        <w:szCs w:val="18"/>
      </w:rPr>
      <w:t>2021.1</w:t>
    </w:r>
  </w:p>
  <w:p w14:paraId="1A24F246" w14:textId="77777777" w:rsidR="00175C2B" w:rsidRDefault="00205E21">
    <w:pPr>
      <w:rPr>
        <w:lang w:val="fr-BE"/>
      </w:rPr>
    </w:pPr>
    <w:r>
      <w:rPr>
        <w:sz w:val="18"/>
        <w:szCs w:val="18"/>
        <w:lang w:val="fr-BE"/>
      </w:rPr>
      <w:t>A2b. EUSDI-PROC-2025-00</w:t>
    </w:r>
    <w:r>
      <w:rPr>
        <w:lang w:val="fr-BE"/>
      </w:rPr>
      <w:t>5 Avis de marche additional info.docx</w:t>
    </w:r>
  </w:p>
  <w:p w14:paraId="166F2553" w14:textId="77777777" w:rsidR="00175C2B" w:rsidRDefault="00175C2B"/>
  <w:p w14:paraId="40F795FA" w14:textId="52CA99BE" w:rsidR="00175C2B" w:rsidRDefault="00205E21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b/>
        <w:sz w:val="20"/>
      </w:rPr>
    </w:pPr>
    <w:r>
      <w:tab/>
    </w:r>
    <w:r>
      <w:rPr>
        <w:sz w:val="18"/>
        <w:szCs w:val="18"/>
      </w:rPr>
      <w:t xml:space="preserve">Page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PAGE </w:instrText>
    </w:r>
    <w:r>
      <w:rPr>
        <w:rStyle w:val="PageNumber"/>
        <w:sz w:val="18"/>
        <w:szCs w:val="18"/>
      </w:rPr>
      <w:fldChar w:fldCharType="separate"/>
    </w:r>
    <w:r w:rsidR="00EB673A">
      <w:rPr>
        <w:rStyle w:val="PageNumber"/>
        <w:noProof/>
        <w:sz w:val="18"/>
        <w:szCs w:val="18"/>
      </w:rPr>
      <w:t>3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sur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NUMPAGES </w:instrText>
    </w:r>
    <w:r>
      <w:rPr>
        <w:rStyle w:val="PageNumber"/>
        <w:sz w:val="18"/>
        <w:szCs w:val="18"/>
      </w:rPr>
      <w:fldChar w:fldCharType="separate"/>
    </w:r>
    <w:r w:rsidR="00EB673A">
      <w:rPr>
        <w:rStyle w:val="PageNumber"/>
        <w:noProof/>
        <w:sz w:val="18"/>
        <w:szCs w:val="18"/>
      </w:rPr>
      <w:t>3</w:t>
    </w:r>
    <w:r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371BA" w14:textId="77777777" w:rsidR="00175C2B" w:rsidRDefault="00205E21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b/>
        <w:sz w:val="18"/>
        <w:szCs w:val="18"/>
      </w:rPr>
    </w:pPr>
    <w:r>
      <w:rPr>
        <w:b/>
        <w:sz w:val="18"/>
        <w:szCs w:val="18"/>
      </w:rPr>
      <w:t>2021.1</w:t>
    </w:r>
  </w:p>
  <w:p w14:paraId="3F9EC822" w14:textId="77777777" w:rsidR="00175C2B" w:rsidRDefault="00205E21">
    <w:pPr>
      <w:rPr>
        <w:lang w:val="fr-BE"/>
      </w:rPr>
    </w:pPr>
    <w:r>
      <w:rPr>
        <w:sz w:val="18"/>
        <w:szCs w:val="18"/>
        <w:lang w:val="fr-BE"/>
      </w:rPr>
      <w:t>A2b. EUSDI-PROC-2025-00</w:t>
    </w:r>
    <w:r>
      <w:rPr>
        <w:lang w:val="fr-BE"/>
      </w:rPr>
      <w:t>5 Avis de marche additional info.docx</w:t>
    </w:r>
  </w:p>
  <w:p w14:paraId="497098D7" w14:textId="77777777" w:rsidR="00175C2B" w:rsidRDefault="00175C2B"/>
  <w:p w14:paraId="7FA45DCC" w14:textId="77777777" w:rsidR="00175C2B" w:rsidRDefault="00205E21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b/>
        <w:sz w:val="20"/>
      </w:rPr>
    </w:pPr>
    <w:r>
      <w:tab/>
    </w:r>
    <w:r>
      <w:rPr>
        <w:sz w:val="18"/>
        <w:szCs w:val="18"/>
      </w:rPr>
      <w:t xml:space="preserve">Page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PAGE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3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sur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NUMPAGES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3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51024" w14:textId="77777777" w:rsidR="00175C2B" w:rsidRDefault="00205E21">
      <w:r>
        <w:separator/>
      </w:r>
    </w:p>
  </w:footnote>
  <w:footnote w:type="continuationSeparator" w:id="0">
    <w:p w14:paraId="3F2818D6" w14:textId="77777777" w:rsidR="00175C2B" w:rsidRDefault="00205E21">
      <w:r>
        <w:continuationSeparator/>
      </w:r>
    </w:p>
  </w:footnote>
  <w:footnote w:id="1">
    <w:p w14:paraId="629FA2EE" w14:textId="77777777" w:rsidR="00175C2B" w:rsidRDefault="00205E21">
      <w:pPr>
        <w:pStyle w:val="FootnoteText"/>
      </w:pPr>
      <w:r>
        <w:rPr>
          <w:rStyle w:val="FootnoteCharacters"/>
        </w:rPr>
        <w:footnoteRef/>
      </w:r>
      <w:r>
        <w:t xml:space="preserve"> </w:t>
      </w:r>
      <w:r>
        <w:rPr>
          <w:sz w:val="18"/>
          <w:szCs w:val="18"/>
        </w:rPr>
        <w:t>Le vocabulaire commun pour les marchés publics (</w:t>
      </w:r>
      <w:r>
        <w:rPr>
          <w:i/>
          <w:iCs/>
          <w:sz w:val="18"/>
          <w:szCs w:val="18"/>
        </w:rPr>
        <w:t>Common Procurement Vocabulary</w:t>
      </w:r>
      <w:r>
        <w:rPr>
          <w:sz w:val="18"/>
          <w:szCs w:val="18"/>
        </w:rPr>
        <w:t xml:space="preserve">, CPV) est la nomenclature de référence obligatoire applicable aux marchés publics. La liste des codes CPV est disponible à l’adresse suivante: </w:t>
      </w:r>
      <w:hyperlink r:id="rId1">
        <w:r>
          <w:rPr>
            <w:rStyle w:val="Hyperlink"/>
            <w:sz w:val="18"/>
            <w:szCs w:val="18"/>
          </w:rPr>
          <w:t>https://simap.ted.europa.eu/fr/web/simap/cpv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8C301" w14:textId="77777777" w:rsidR="00175C2B" w:rsidRDefault="00175C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70317" w14:textId="77777777" w:rsidR="00175C2B" w:rsidRDefault="00175C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8E50" w14:textId="77777777" w:rsidR="00175C2B" w:rsidRDefault="00175C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068E3"/>
    <w:multiLevelType w:val="multilevel"/>
    <w:tmpl w:val="56B851DA"/>
    <w:lvl w:ilvl="0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543150"/>
    <w:multiLevelType w:val="multilevel"/>
    <w:tmpl w:val="30A232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87098308">
    <w:abstractNumId w:val="1"/>
  </w:num>
  <w:num w:numId="2" w16cid:durableId="1689408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75C2B"/>
    <w:rsid w:val="00175C2B"/>
    <w:rsid w:val="00177FB5"/>
    <w:rsid w:val="001D02D7"/>
    <w:rsid w:val="00205E21"/>
    <w:rsid w:val="00246403"/>
    <w:rsid w:val="003D0729"/>
    <w:rsid w:val="003F71EC"/>
    <w:rsid w:val="00456372"/>
    <w:rsid w:val="00482198"/>
    <w:rsid w:val="008E2F1F"/>
    <w:rsid w:val="009F3D67"/>
    <w:rsid w:val="00A12F8A"/>
    <w:rsid w:val="00A20494"/>
    <w:rsid w:val="00B24608"/>
    <w:rsid w:val="00B9264A"/>
    <w:rsid w:val="00BE79E0"/>
    <w:rsid w:val="00C97A97"/>
    <w:rsid w:val="00CC384A"/>
    <w:rsid w:val="00DB4071"/>
    <w:rsid w:val="00E06BD2"/>
    <w:rsid w:val="00E54CCD"/>
    <w:rsid w:val="00EB673A"/>
    <w:rsid w:val="00F0274F"/>
    <w:rsid w:val="00F8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C2FC9"/>
  <w15:docId w15:val="{35724C04-D531-40AD-A307-CB810BB7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B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0A75"/>
    <w:pPr>
      <w:widowControl w:val="0"/>
      <w:spacing w:before="100" w:after="100"/>
    </w:pPr>
    <w:rPr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D6292"/>
    <w:pPr>
      <w:keepNext/>
      <w:widowControl/>
      <w:spacing w:before="120" w:after="120"/>
      <w:outlineLvl w:val="1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inition">
    <w:name w:val="Definition"/>
    <w:qFormat/>
    <w:rPr>
      <w:i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Variable">
    <w:name w:val="Variable"/>
    <w:qFormat/>
    <w:rPr>
      <w:i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character" w:styleId="PageNumber">
    <w:name w:val="page number"/>
    <w:basedOn w:val="DefaultParagraphFont"/>
    <w:rsid w:val="007F095B"/>
  </w:style>
  <w:style w:type="character" w:customStyle="1" w:styleId="FootnoteCharacters">
    <w:name w:val="Footnote Characters"/>
    <w:semiHidden/>
    <w:qFormat/>
    <w:rsid w:val="001951F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FooterChar">
    <w:name w:val="Footer Char"/>
    <w:link w:val="Footer"/>
    <w:qFormat/>
    <w:rsid w:val="007727F3"/>
    <w:rPr>
      <w:sz w:val="24"/>
      <w:lang w:val="fr-FR" w:eastAsia="en-US"/>
    </w:rPr>
  </w:style>
  <w:style w:type="character" w:customStyle="1" w:styleId="BalloonTextChar">
    <w:name w:val="Balloon Text Char"/>
    <w:link w:val="BalloonText"/>
    <w:qFormat/>
    <w:rsid w:val="00D240C3"/>
    <w:rPr>
      <w:rFonts w:ascii="Tahoma" w:hAnsi="Tahoma" w:cs="Tahoma"/>
      <w:sz w:val="16"/>
      <w:szCs w:val="16"/>
      <w:lang w:val="fr-FR" w:eastAsia="en-US"/>
    </w:rPr>
  </w:style>
  <w:style w:type="character" w:styleId="CommentReference">
    <w:name w:val="annotation reference"/>
    <w:qFormat/>
    <w:rsid w:val="00BC0714"/>
    <w:rPr>
      <w:sz w:val="16"/>
      <w:szCs w:val="16"/>
    </w:rPr>
  </w:style>
  <w:style w:type="character" w:customStyle="1" w:styleId="CommentTextChar">
    <w:name w:val="Comment Text Char"/>
    <w:link w:val="CommentText"/>
    <w:qFormat/>
    <w:rsid w:val="00BC0714"/>
    <w:rPr>
      <w:lang w:val="fr-FR" w:eastAsia="en-US"/>
    </w:rPr>
  </w:style>
  <w:style w:type="character" w:customStyle="1" w:styleId="CommentSubjectChar">
    <w:name w:val="Comment Subject Char"/>
    <w:link w:val="CommentSubject"/>
    <w:qFormat/>
    <w:rsid w:val="00BC0714"/>
    <w:rPr>
      <w:b/>
      <w:bCs/>
      <w:lang w:val="fr-FR" w:eastAsia="en-US"/>
    </w:rPr>
  </w:style>
  <w:style w:type="character" w:customStyle="1" w:styleId="FunoteChar">
    <w:name w:val="Fußnote Char"/>
    <w:uiPriority w:val="99"/>
    <w:qFormat/>
    <w:rsid w:val="006A3716"/>
    <w:rPr>
      <w:rFonts w:ascii="Times New Roman" w:eastAsia="Times New Roman" w:hAnsi="Times New Roman" w:cs="Times New Roman"/>
    </w:rPr>
  </w:style>
  <w:style w:type="character" w:customStyle="1" w:styleId="EndnoteTextChar">
    <w:name w:val="Endnote Text Char"/>
    <w:link w:val="EndnoteText"/>
    <w:qFormat/>
    <w:rsid w:val="005B3ED3"/>
    <w:rPr>
      <w:lang w:val="fr-FR" w:eastAsia="en-US"/>
    </w:rPr>
  </w:style>
  <w:style w:type="character" w:customStyle="1" w:styleId="SubtitleChar">
    <w:name w:val="Subtitle Char"/>
    <w:basedOn w:val="DefaultParagraphFont"/>
    <w:link w:val="Subtitle"/>
    <w:qFormat/>
    <w:rsid w:val="00EF74CF"/>
    <w:rPr>
      <w:rFonts w:ascii="Arial" w:hAnsi="Arial"/>
      <w:b/>
      <w:sz w:val="28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8E0240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qFormat/>
    <w:rsid w:val="00610F88"/>
    <w:rPr>
      <w:rFonts w:ascii="Arial" w:hAnsi="Arial"/>
      <w:lang w:eastAsia="en-US"/>
    </w:rPr>
  </w:style>
  <w:style w:type="character" w:customStyle="1" w:styleId="EmailStyle15">
    <w:name w:val="EmailStyle15"/>
    <w:basedOn w:val="DefaultParagraphFont"/>
    <w:qFormat/>
    <w:rPr>
      <w:color w:val="auto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DefinitionTerm">
    <w:name w:val="Definition Term"/>
    <w:basedOn w:val="Normal"/>
    <w:next w:val="DefinitionList"/>
    <w:qFormat/>
    <w:pPr>
      <w:spacing w:before="0" w:after="0"/>
    </w:pPr>
  </w:style>
  <w:style w:type="paragraph" w:customStyle="1" w:styleId="DefinitionList">
    <w:name w:val="Definition List"/>
    <w:basedOn w:val="Normal"/>
    <w:next w:val="DefinitionTerm"/>
    <w:qFormat/>
    <w:pPr>
      <w:spacing w:before="0" w:after="0"/>
      <w:ind w:left="360"/>
    </w:pPr>
  </w:style>
  <w:style w:type="paragraph" w:customStyle="1" w:styleId="H1">
    <w:name w:val="H1"/>
    <w:basedOn w:val="Normal"/>
    <w:next w:val="Normal"/>
    <w:qFormat/>
    <w:pPr>
      <w:keepNext/>
      <w:outlineLvl w:val="1"/>
    </w:pPr>
    <w:rPr>
      <w:b/>
      <w:kern w:val="2"/>
      <w:sz w:val="48"/>
    </w:rPr>
  </w:style>
  <w:style w:type="paragraph" w:customStyle="1" w:styleId="H2">
    <w:name w:val="H2"/>
    <w:basedOn w:val="Normal"/>
    <w:next w:val="Normal"/>
    <w:qFormat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qFormat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qFormat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qFormat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qFormat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qFormat/>
    <w:pPr>
      <w:spacing w:before="0" w:after="0"/>
    </w:pPr>
    <w:rPr>
      <w:i/>
    </w:rPr>
  </w:style>
  <w:style w:type="paragraph" w:customStyle="1" w:styleId="Blockquote">
    <w:name w:val="Blockquote"/>
    <w:basedOn w:val="Normal"/>
    <w:qFormat/>
    <w:pPr>
      <w:ind w:left="360" w:right="360"/>
    </w:pPr>
  </w:style>
  <w:style w:type="paragraph" w:customStyle="1" w:styleId="Preformatted">
    <w:name w:val="Preformatted"/>
    <w:basedOn w:val="Normal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qFormat/>
    <w:pPr>
      <w:widowControl w:val="0"/>
      <w:pBdr>
        <w:top w:val="double" w:sz="2" w:space="0" w:color="000000"/>
      </w:pBdr>
      <w:jc w:val="center"/>
    </w:pPr>
    <w:rPr>
      <w:rFonts w:ascii="Arial" w:hAnsi="Arial"/>
      <w:vanish/>
      <w:sz w:val="16"/>
      <w:lang w:eastAsia="en-US"/>
    </w:rPr>
  </w:style>
  <w:style w:type="paragraph" w:styleId="z-TopofForm">
    <w:name w:val="HTML Top of Form"/>
    <w:next w:val="Normal"/>
    <w:qFormat/>
    <w:pPr>
      <w:widowControl w:val="0"/>
      <w:pBdr>
        <w:bottom w:val="double" w:sz="2" w:space="0" w:color="000000"/>
      </w:pBdr>
      <w:jc w:val="center"/>
    </w:pPr>
    <w:rPr>
      <w:rFonts w:ascii="Arial" w:hAnsi="Arial"/>
      <w:vanish/>
      <w:sz w:val="16"/>
      <w:lang w:eastAsia="en-US"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qFormat/>
    <w:rsid w:val="007D6292"/>
    <w:pPr>
      <w:widowControl/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before="120" w:after="120" w:line="240" w:lineRule="exact"/>
      <w:jc w:val="both"/>
    </w:pPr>
    <w:rPr>
      <w:rFonts w:ascii="Arial" w:hAnsi="Arial"/>
      <w:b/>
    </w:rPr>
  </w:style>
  <w:style w:type="paragraph" w:styleId="FootnoteText">
    <w:name w:val="footnote text"/>
    <w:basedOn w:val="Normal"/>
    <w:semiHidden/>
    <w:rsid w:val="001951FE"/>
    <w:rPr>
      <w:sz w:val="20"/>
    </w:rPr>
  </w:style>
  <w:style w:type="paragraph" w:styleId="BalloonText">
    <w:name w:val="Balloon Text"/>
    <w:basedOn w:val="Normal"/>
    <w:link w:val="BalloonTextChar"/>
    <w:qFormat/>
    <w:rsid w:val="00D240C3"/>
    <w:pPr>
      <w:spacing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1F5D80"/>
    <w:pPr>
      <w:widowControl/>
      <w:spacing w:beforeAutospacing="1" w:afterAutospacing="1"/>
    </w:pPr>
    <w:rPr>
      <w:szCs w:val="24"/>
      <w:lang w:eastAsia="en-GB"/>
    </w:rPr>
  </w:style>
  <w:style w:type="paragraph" w:styleId="CommentText">
    <w:name w:val="annotation text"/>
    <w:basedOn w:val="Normal"/>
    <w:link w:val="CommentTextChar"/>
    <w:rsid w:val="00BC0714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BC0714"/>
    <w:rPr>
      <w:b/>
      <w:bCs/>
    </w:rPr>
  </w:style>
  <w:style w:type="paragraph" w:customStyle="1" w:styleId="PRAGHeading2">
    <w:name w:val="PRAG Heading 2"/>
    <w:basedOn w:val="Normal"/>
    <w:qFormat/>
    <w:rsid w:val="00E25542"/>
    <w:pPr>
      <w:numPr>
        <w:numId w:val="2"/>
      </w:numPr>
    </w:pPr>
  </w:style>
  <w:style w:type="paragraph" w:styleId="EndnoteText">
    <w:name w:val="endnote text"/>
    <w:basedOn w:val="Normal"/>
    <w:link w:val="EndnoteTextChar"/>
    <w:rsid w:val="005B3ED3"/>
    <w:rPr>
      <w:sz w:val="20"/>
    </w:rPr>
  </w:style>
  <w:style w:type="paragraph" w:styleId="Subtitle">
    <w:name w:val="Subtitle"/>
    <w:basedOn w:val="Normal"/>
    <w:link w:val="SubtitleChar"/>
    <w:qFormat/>
    <w:rsid w:val="00EF74CF"/>
    <w:pPr>
      <w:widowControl/>
      <w:spacing w:before="120" w:after="120"/>
      <w:jc w:val="center"/>
    </w:pPr>
    <w:rPr>
      <w:rFonts w:ascii="Arial" w:hAnsi="Arial"/>
      <w:b/>
      <w:sz w:val="28"/>
    </w:rPr>
  </w:style>
  <w:style w:type="paragraph" w:styleId="Revision">
    <w:name w:val="Revision"/>
    <w:uiPriority w:val="99"/>
    <w:semiHidden/>
    <w:qFormat/>
    <w:rsid w:val="00C91095"/>
    <w:rPr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06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USDI-GULF-OF-GUINEA-TENDERS@eeas.europ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eas.europa.eu/eu-sdi-gulf-guinea_en?s=41035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map.ted.europa.eu/fr/web/simap/cp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41C8C2-23A2-40CA-A933-5103642D5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14C7F8-6AE8-402B-A884-9677868BC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532590-8030-4ECD-AF7C-DDBE48CC2A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8568B0-1998-4CF1-9E52-342C5D3176C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21a4a1d-4eb8-49d3-b465-be101281b0f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517</Words>
  <Characters>2991</Characters>
  <Application>Microsoft Office Word</Application>
  <DocSecurity>0</DocSecurity>
  <Lines>52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Procurement notice for a service contract</vt:lpstr>
    </vt:vector>
  </TitlesOfParts>
  <Company>European Commission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notice for a service contract</dc:title>
  <dc:subject/>
  <dc:creator>ramatje</dc:creator>
  <dc:description/>
  <cp:lastModifiedBy>PETRAITYTE Gabriele (FPI)</cp:lastModifiedBy>
  <cp:revision>5</cp:revision>
  <cp:lastPrinted>2014-01-30T15:32:00Z</cp:lastPrinted>
  <dcterms:created xsi:type="dcterms:W3CDTF">2025-02-27T17:48:00Z</dcterms:created>
  <dcterms:modified xsi:type="dcterms:W3CDTF">2025-03-04T13:49:00Z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GENERATOR">
    <vt:lpwstr>Microsoft FrontPage 3.0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2025-02-24T21:11:07Z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090a3c44-e1e2-4574-98b8-945b0814aacd</vt:lpwstr>
  </property>
  <property fmtid="{D5CDD505-2E9C-101B-9397-08002B2CF9AE}" pid="11" name="MSIP_Label_6bd9ddd1-4d20-43f6-abfa-fc3c07406f94_ContentBits">
    <vt:lpwstr>0</vt:lpwstr>
  </property>
</Properties>
</file>